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3415665</wp:posOffset>
            </wp:positionH>
            <wp:positionV relativeFrom="page">
              <wp:posOffset>1122680</wp:posOffset>
            </wp:positionV>
            <wp:extent cx="875665" cy="83121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UNIVERSIDADE FEDERAL DA INTEGRAÇÃO LATINO-AMERICANA 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PRÓ-REITORIA DE GRADUAÇÃO 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ANEXO II - </w:t>
      </w:r>
      <w:r>
        <w:rPr>
          <w:rFonts w:ascii="Arial" w:hAnsi="Arial"/>
          <w:b/>
          <w:sz w:val="22"/>
          <w:szCs w:val="22"/>
        </w:rPr>
        <w:t>FORMULÁRIO DE PREVISÃO DE AQUISIÇÃO DE INSUMOS (</w:t>
      </w:r>
      <w:r>
        <w:rPr>
          <w:rFonts w:eastAsia="Arial" w:cs="Arial" w:ascii="Arial" w:hAnsi="Arial"/>
          <w:b/>
          <w:sz w:val="22"/>
          <w:szCs w:val="22"/>
        </w:rPr>
        <w:t>PAD-TCC)</w:t>
      </w:r>
    </w:p>
    <w:p>
      <w:pPr>
        <w:pStyle w:val="LO-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5"/>
        <w:tblW w:w="9028" w:type="dxa"/>
        <w:jc w:val="center"/>
        <w:tblInd w:w="0" w:type="dxa"/>
        <w:tblLayout w:type="fixed"/>
        <w:tblCellMar>
          <w:top w:w="0" w:type="dxa"/>
          <w:left w:w="80" w:type="dxa"/>
          <w:bottom w:w="0" w:type="dxa"/>
          <w:right w:w="80" w:type="dxa"/>
        </w:tblCellMar>
        <w:tblLook w:val="0600"/>
      </w:tblPr>
      <w:tblGrid>
        <w:gridCol w:w="448"/>
        <w:gridCol w:w="4679"/>
        <w:gridCol w:w="1241"/>
        <w:gridCol w:w="1432"/>
        <w:gridCol w:w="1228"/>
      </w:tblGrid>
      <w:tr>
        <w:trPr>
          <w:trHeight w:val="244" w:hRule="atLeast"/>
        </w:trPr>
        <w:tc>
          <w:tcPr>
            <w:tcW w:w="5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Nome do item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Quantidade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Valor</w:t>
              <w:br/>
              <w:t xml:space="preserve"> unitário  (R$)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D8D8D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Valor</w:t>
              <w:br/>
              <w:t xml:space="preserve">  total (R$)</w:t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60" w:hRule="atLeast"/>
        </w:trPr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left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636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12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 do orçamento(R$):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1134" w:top="1191" w:footer="85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-normal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99/2024/PROGRAD (12/07/2024)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LibreOffice_project/cdeefe45c17511d326101eed8008ac4092f278a9</Application>
  <AppVersion>15.0000</AppVersion>
  <Pages>1</Pages>
  <Words>59</Words>
  <Characters>424</Characters>
  <CharactersWithSpaces>472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2024-07-12T15:32:22Z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