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line="276" w:lineRule="auto"/>
        <w:rPr>
          <w:b w:val="1"/>
          <w:sz w:val="24"/>
          <w:szCs w:val="24"/>
        </w:rPr>
      </w:pPr>
      <w:bookmarkStart w:colFirst="0" w:colLast="0" w:name="_pjdli38dw4n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widowControl w:val="0"/>
        <w:spacing w:line="276" w:lineRule="auto"/>
        <w:rPr>
          <w:b w:val="1"/>
          <w:sz w:val="24"/>
          <w:szCs w:val="24"/>
        </w:rPr>
      </w:pPr>
      <w:bookmarkStart w:colFirst="0" w:colLast="0" w:name="_pbu6h1psdfid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ANEXO I – PLANO DE TRABALHO DO BOLSISTA 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Edital nº 17/2025 IMEA – Núcleo de Estudos sobre Natureza e Capital na América Latina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1. Objetivo Geral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widowControl w:val="0"/>
        <w:spacing w:line="276" w:lineRule="auto"/>
        <w:rPr>
          <w:sz w:val="24"/>
          <w:szCs w:val="24"/>
        </w:rPr>
      </w:pPr>
      <w:bookmarkStart w:colFirst="0" w:colLast="0" w:name="_xbuqwra10tyc" w:id="2"/>
      <w:bookmarkEnd w:id="2"/>
      <w:r w:rsidDel="00000000" w:rsidR="00000000" w:rsidRPr="00000000">
        <w:rPr>
          <w:sz w:val="24"/>
          <w:szCs w:val="24"/>
          <w:rtl w:val="0"/>
        </w:rPr>
        <w:t xml:space="preserve">2. Objetivos Específicos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widowControl w:val="0"/>
        <w:spacing w:line="276" w:lineRule="auto"/>
        <w:rPr>
          <w:sz w:val="24"/>
          <w:szCs w:val="24"/>
        </w:rPr>
      </w:pPr>
      <w:bookmarkStart w:colFirst="0" w:colLast="0" w:name="_fiz857ehl39" w:id="3"/>
      <w:bookmarkEnd w:id="3"/>
      <w:r w:rsidDel="00000000" w:rsidR="00000000" w:rsidRPr="00000000">
        <w:rPr>
          <w:sz w:val="24"/>
          <w:szCs w:val="24"/>
          <w:rtl w:val="0"/>
        </w:rPr>
        <w:t xml:space="preserve">3. Atividades a serem realizadas</w:t>
      </w:r>
    </w:p>
    <w:p w:rsidR="00000000" w:rsidDel="00000000" w:rsidP="00000000" w:rsidRDefault="00000000" w:rsidRPr="00000000" w14:paraId="00000009">
      <w:pPr>
        <w:pStyle w:val="Heading2"/>
        <w:widowControl w:val="0"/>
        <w:spacing w:line="276" w:lineRule="auto"/>
        <w:rPr>
          <w:sz w:val="24"/>
          <w:szCs w:val="24"/>
        </w:rPr>
      </w:pPr>
      <w:bookmarkStart w:colFirst="0" w:colLast="0" w:name="_tlc2voeo5uvz" w:id="4"/>
      <w:bookmarkEnd w:id="4"/>
      <w:r w:rsidDel="00000000" w:rsidR="00000000" w:rsidRPr="00000000">
        <w:rPr>
          <w:sz w:val="24"/>
          <w:szCs w:val="24"/>
          <w:rtl w:val="0"/>
        </w:rPr>
        <w:t xml:space="preserve">4. Carga Horária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 bolsista deverá dedicar 20 (vinte) horas semanais às atividades do Núcleo no período a combinar com o Coordenador do Núcleo.</w:t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Cronograma de Execução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"/>
        <w:gridCol w:w="3009"/>
        <w:gridCol w:w="3009"/>
        <w:tblGridChange w:id="0">
          <w:tblGrid>
            <w:gridCol w:w="3008"/>
            <w:gridCol w:w="3009"/>
            <w:gridCol w:w="300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 prevista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Entrega esperada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11/2025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12/2025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 Coordenador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spacing w:line="276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UNIVERSIDADE FEDERAL DA INTEGRAÇÃO LATINO-AMERICANA</w:t>
    </w:r>
  </w:p>
  <w:p w:rsidR="00000000" w:rsidDel="00000000" w:rsidP="00000000" w:rsidRDefault="00000000" w:rsidRPr="00000000" w14:paraId="00000026">
    <w:pPr>
      <w:spacing w:line="276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INSTITUTO MERCOSUL DE ESTUDOS AVANÇADOS</w:t>
    </w:r>
  </w:p>
  <w:p w:rsidR="00000000" w:rsidDel="00000000" w:rsidP="00000000" w:rsidRDefault="00000000" w:rsidRPr="00000000" w14:paraId="00000027">
    <w:pPr>
      <w:spacing w:line="276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76" w:lineRule="auto"/>
      <w:jc w:val="center"/>
      <w:rPr>
        <w:b w:val="1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    </w:t>
    </w:r>
    <w:r w:rsidDel="00000000" w:rsidR="00000000" w:rsidRPr="00000000">
      <w:rPr>
        <w:b w:val="1"/>
        <w:sz w:val="24"/>
        <w:szCs w:val="24"/>
        <w:rtl w:val="0"/>
      </w:rPr>
      <w:t xml:space="preserve">EDITAL Nº 17/IMEA/UNILA, de 15 de setembro de 2025</w:t>
    </w:r>
  </w:p>
  <w:p w:rsidR="00000000" w:rsidDel="00000000" w:rsidP="00000000" w:rsidRDefault="00000000" w:rsidRPr="00000000" w14:paraId="00000029">
    <w:pPr>
      <w:spacing w:line="276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