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90015/2024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n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highlight w:val="white"/>
          <w:u w:val="none"/>
          <w:rtl w:val="0"/>
        </w:rPr>
        <w:t xml:space="preserve">º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highlight w:val="white"/>
          <w:rtl w:val="0"/>
        </w:rPr>
        <w:t xml:space="preserve">90015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highlight w:val="white"/>
          <w:u w:val="none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highlight w:val="white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jSek9xt25OtFlb+fMNqZagqAKA==">CgMxLjAyCGguZ2pkZ3hzOAByITE2RkhaTHBUZTUzYlRwcTBUS0FCRGdBSExXR0Mxd19RNg==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