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MINISTÉRIO DA EDUCAÇÃO</w:t>
      </w:r>
    </w:p>
    <w:p>
      <w:pPr>
        <w:pStyle w:val="Normal1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UNIVERSIDADE FEDERAL DA INTEGRAÇÃO LATINO-AMERICANA</w:t>
      </w:r>
    </w:p>
    <w:p>
      <w:pPr>
        <w:pStyle w:val="Normal1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PRÓ-REITORIA DE GRADUAÇÃO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1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4"/>
          <w:szCs w:val="24"/>
        </w:rPr>
        <w:t>ANEXO II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4"/>
          <w:szCs w:val="24"/>
        </w:rPr>
        <w:t xml:space="preserve">ORIENTAÇÕES PARA SOLICITAÇÃO DE TRANSPORTE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RODOVIÁRIO COM FROTA PRÓPRIA DA UNILA</w:t>
      </w:r>
    </w:p>
    <w:p>
      <w:pPr>
        <w:pStyle w:val="Normal1"/>
        <w:tabs>
          <w:tab w:val="clear" w:pos="720"/>
          <w:tab w:val="left" w:pos="10370" w:leader="none"/>
        </w:tabs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i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</w:r>
    </w:p>
    <w:tbl>
      <w:tblPr>
        <w:tblStyle w:val="Table1"/>
        <w:tblW w:w="10485" w:type="dxa"/>
        <w:jc w:val="left"/>
        <w:tblInd w:w="-45" w:type="dxa"/>
        <w:tblLayout w:type="fixed"/>
        <w:tblCellMar>
          <w:top w:w="164" w:type="dxa"/>
          <w:left w:w="164" w:type="dxa"/>
          <w:bottom w:w="164" w:type="dxa"/>
          <w:right w:w="164" w:type="dxa"/>
        </w:tblCellMar>
        <w:tblLook w:val="0000"/>
      </w:tblPr>
      <w:tblGrid>
        <w:gridCol w:w="2496"/>
        <w:gridCol w:w="4308"/>
        <w:gridCol w:w="3680"/>
      </w:tblGrid>
      <w:tr>
        <w:trPr/>
        <w:tc>
          <w:tcPr>
            <w:tcW w:w="1048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DDDD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Mesorregião do Oeste Paranaense*</w:t>
            </w:r>
          </w:p>
        </w:tc>
      </w:tr>
      <w:tr>
        <w:trPr>
          <w:trHeight w:val="2701" w:hRule="atLeast"/>
        </w:trPr>
        <w:tc>
          <w:tcPr>
            <w:tcW w:w="2496" w:type="dxa"/>
            <w:tcBorders>
              <w:left w:val="single" w:sz="6" w:space="0" w:color="808080"/>
              <w:bottom w:val="single" w:sz="6" w:space="0" w:color="80808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Microrregião de Cascavel</w:t>
              </w:r>
            </w:hyperlink>
          </w:p>
        </w:tc>
        <w:tc>
          <w:tcPr>
            <w:tcW w:w="4308" w:type="dxa"/>
            <w:tcBorders>
              <w:left w:val="single" w:sz="6" w:space="0" w:color="808080"/>
              <w:bottom w:val="single" w:sz="6" w:space="0" w:color="808080"/>
            </w:tcBorders>
            <w:shd w:fill="auto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Anahy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Boa Vista da Aparecida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Braganey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Cafelândia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Campo Bonito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Capitão Leônidas Marques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Cascavel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Catanduvas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Corbélia</w:t>
            </w:r>
          </w:p>
        </w:tc>
        <w:tc>
          <w:tcPr>
            <w:tcW w:w="3680" w:type="dxa"/>
            <w:tcBorders>
              <w:bottom w:val="single" w:sz="6" w:space="0" w:color="808080"/>
              <w:right w:val="single" w:sz="6" w:space="0" w:color="808080"/>
            </w:tcBorders>
            <w:shd w:fill="auto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Diamante do Sul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Guaraniaçu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Ibema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Iguatu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Lindoeste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Nova Aurora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Santa Lúcia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Santa Tereza do Oeste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Três Barras do Paraná</w:t>
              </w:r>
            </w:hyperlink>
          </w:p>
        </w:tc>
      </w:tr>
      <w:tr>
        <w:trPr/>
        <w:tc>
          <w:tcPr>
            <w:tcW w:w="2496" w:type="dxa"/>
            <w:tcBorders>
              <w:left w:val="single" w:sz="6" w:space="0" w:color="808080"/>
              <w:bottom w:val="single" w:sz="6" w:space="0" w:color="808080"/>
            </w:tcBorders>
            <w:shd w:fill="DDDDDD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Microrregião de Foz do Iguaçu</w:t>
              </w:r>
            </w:hyperlink>
          </w:p>
        </w:tc>
        <w:tc>
          <w:tcPr>
            <w:tcW w:w="4308" w:type="dxa"/>
            <w:tcBorders>
              <w:left w:val="single" w:sz="6" w:space="0" w:color="808080"/>
              <w:bottom w:val="single" w:sz="6" w:space="0" w:color="808080"/>
            </w:tcBorders>
            <w:shd w:fill="DDDDDD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Céu Azul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Foz do Iguaçu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Itaipulândia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Matelândia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Medianeira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Missal</w:t>
            </w:r>
          </w:p>
        </w:tc>
        <w:tc>
          <w:tcPr>
            <w:tcW w:w="3680" w:type="dxa"/>
            <w:tcBorders>
              <w:bottom w:val="single" w:sz="6" w:space="0" w:color="808080"/>
              <w:right w:val="single" w:sz="6" w:space="0" w:color="808080"/>
            </w:tcBorders>
            <w:shd w:fill="DDDDDD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Ramilândia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Santa Terezinha de Itaipu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São Miguel do Iguaçu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Serranópolis do Iguaçu</w:t>
              </w:r>
            </w:hyperlink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Vera Cruz do Oeste</w:t>
              </w:r>
            </w:hyperlink>
          </w:p>
        </w:tc>
      </w:tr>
      <w:tr>
        <w:trPr/>
        <w:tc>
          <w:tcPr>
            <w:tcW w:w="2496" w:type="dxa"/>
            <w:tcBorders>
              <w:left w:val="single" w:sz="6" w:space="0" w:color="808080"/>
              <w:bottom w:val="single" w:sz="6" w:space="0" w:color="80808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Microrregião de Toledo</w:t>
              </w:r>
            </w:hyperlink>
          </w:p>
        </w:tc>
        <w:tc>
          <w:tcPr>
            <w:tcW w:w="4308" w:type="dxa"/>
            <w:tcBorders>
              <w:left w:val="single" w:sz="6" w:space="0" w:color="808080"/>
              <w:bottom w:val="single" w:sz="6" w:space="0" w:color="808080"/>
            </w:tcBorders>
            <w:shd w:fill="auto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Assis Chateaubriand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Diamante d'Oeste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Entre Rios do Oeste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Formosa do Oeste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Guaíra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Iracema do Oeste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Jesuítas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Marechal Cândido Rondon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Maripá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Mercedes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Nova Santa Rosa</w:t>
            </w:r>
          </w:p>
        </w:tc>
        <w:tc>
          <w:tcPr>
            <w:tcW w:w="3680" w:type="dxa"/>
            <w:tcBorders>
              <w:bottom w:val="single" w:sz="6" w:space="0" w:color="808080"/>
              <w:right w:val="single" w:sz="6" w:space="0" w:color="808080"/>
            </w:tcBorders>
            <w:shd w:fill="auto"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Ouro Verde do Oeste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Palotina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Pato Bragado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Quatro Pontes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Santa Helena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São José das Palmeiras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São Pedro do Iguaçu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Terra Roxa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Toledo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jc w:val="both"/>
              <w:rPr/>
            </w:pPr>
            <w:hyperlink r:id="rId9">
              <w:r>
                <w:rPr>
                  <w:rFonts w:eastAsia="Times New Roman" w:cs="Times New Roman" w:ascii="Times New Roman" w:hAnsi="Times New Roman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Tupãssi</w:t>
              </w:r>
            </w:hyperlink>
          </w:p>
        </w:tc>
      </w:tr>
      <w:tr>
        <w:trPr>
          <w:trHeight w:val="540" w:hRule="atLeast"/>
        </w:trPr>
        <w:tc>
          <w:tcPr>
            <w:tcW w:w="1048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right" w:pos="9360" w:leader="none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*Coordenadoria de Infraestrutura – COINFRA | Departamento de Logística – DELOG / Divisão de Transportes – DITRAN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TRANSPORTE RODOVIÁRIO COM NECESSIDADE DE FRETAMENTO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TERCEIRIZADO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highlight w:val="white"/>
        </w:rPr>
      </w:pPr>
      <w:r>
        <w:rPr>
          <w:rFonts w:eastAsia="Times New Roman" w:cs="Times New Roman" w:ascii="Times New Roman" w:hAnsi="Times New Roman"/>
          <w:color w:val="auto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>As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auto"/>
          <w:highlight w:val="white"/>
        </w:rPr>
        <w:t>a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tividades de </w:t>
      </w:r>
      <w:r>
        <w:rPr>
          <w:rFonts w:eastAsia="Times New Roman" w:cs="Times New Roman" w:ascii="Times New Roman" w:hAnsi="Times New Roman"/>
          <w:color w:val="auto"/>
          <w:highlight w:val="white"/>
        </w:rPr>
        <w:t>c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ampo ou </w:t>
      </w:r>
      <w:r>
        <w:rPr>
          <w:rFonts w:eastAsia="Times New Roman" w:cs="Times New Roman" w:ascii="Times New Roman" w:hAnsi="Times New Roman"/>
          <w:color w:val="auto"/>
          <w:highlight w:val="white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isitas </w:t>
      </w:r>
      <w:r>
        <w:rPr>
          <w:rFonts w:eastAsia="Times New Roman" w:cs="Times New Roman" w:ascii="Times New Roman" w:hAnsi="Times New Roman"/>
          <w:color w:val="auto"/>
          <w:highlight w:val="white"/>
        </w:rPr>
        <w:t>c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urriculares que exigirem a necessidade de deslocamento para localidades que não integram a Mesorregião do Oeste Paranaense deverão ser realizadas mediante fretamento de transporte rodoviário.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Conforme item 5.3 do </w:t>
      </w:r>
      <w:r>
        <w:rPr>
          <w:rFonts w:eastAsia="Times New Roman" w:cs="Times New Roman" w:ascii="Times New Roman" w:hAnsi="Times New Roman"/>
          <w:color w:val="auto"/>
        </w:rPr>
        <w:t xml:space="preserve">Edital PROGRAD </w:t>
      </w:r>
      <w:r>
        <w:rPr>
          <w:rFonts w:eastAsia="Times New Roman" w:cs="Times New Roman" w:ascii="Times New Roman" w:hAnsi="Times New Roman"/>
          <w:color w:val="auto"/>
        </w:rPr>
        <w:t xml:space="preserve">nº </w:t>
      </w:r>
      <w:r>
        <w:rPr>
          <w:rFonts w:eastAsia="Times New Roman" w:cs="Times New Roman" w:ascii="Times New Roman" w:hAnsi="Times New Roman"/>
          <w:color w:val="auto"/>
        </w:rPr>
        <w:t>139</w:t>
      </w:r>
      <w:r>
        <w:rPr>
          <w:rFonts w:eastAsia="Times New Roman" w:cs="Times New Roman" w:ascii="Times New Roman" w:hAnsi="Times New Roman"/>
          <w:color w:val="auto"/>
        </w:rPr>
        <w:t>/2023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a disponibilidade e custeio do transporte será avaliado e aferido pela DITRAN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/PROAGI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em conformidade as informações fornecidas no campo 5.5 (cronograma/roteiro) do Formulário de Submissão para o Programa de Apoio à Vivência de Componentes Curriculares - PVCC (Anexo I).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Fretamento local – Foz do Iguaçu/PR, Puerto Iguazu/ARG e Ciudad del Este/PAR:</w:t>
      </w:r>
      <w:r>
        <w:rPr>
          <w:rFonts w:eastAsia="Times New Roman" w:cs="Times New Roman" w:ascii="Times New Roman" w:hAnsi="Times New Roman"/>
          <w:color w:val="auto"/>
        </w:rPr>
        <w:t xml:space="preserve"> ô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nibus, </w:t>
      </w:r>
      <w:r>
        <w:rPr>
          <w:rFonts w:eastAsia="Times New Roman" w:cs="Times New Roman" w:ascii="Times New Roman" w:hAnsi="Times New Roman"/>
          <w:color w:val="auto"/>
        </w:rPr>
        <w:t>m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icro-ônibus, </w:t>
      </w:r>
      <w:r>
        <w:rPr>
          <w:rFonts w:eastAsia="Times New Roman" w:cs="Times New Roman" w:ascii="Times New Roman" w:hAnsi="Times New Roman"/>
          <w:color w:val="auto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 e </w:t>
      </w:r>
      <w:r>
        <w:rPr>
          <w:rFonts w:eastAsia="Times New Roman" w:cs="Times New Roman" w:ascii="Times New Roman" w:hAnsi="Times New Roman"/>
          <w:color w:val="auto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eículo </w:t>
      </w:r>
      <w:r>
        <w:rPr>
          <w:rFonts w:eastAsia="Times New Roman" w:cs="Times New Roman" w:ascii="Times New Roman" w:hAnsi="Times New Roman"/>
          <w:color w:val="auto"/>
        </w:rPr>
        <w:t>e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xecutivo.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/>
          <w:color w:val="auto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Fretamento de </w:t>
      </w:r>
      <w:r>
        <w:rPr>
          <w:rFonts w:eastAsia="Times New Roman" w:cs="Times New Roman" w:ascii="Times New Roman" w:hAnsi="Times New Roman"/>
          <w:color w:val="auto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iagens </w:t>
      </w:r>
      <w:r>
        <w:rPr>
          <w:rFonts w:eastAsia="Times New Roman" w:cs="Times New Roman" w:ascii="Times New Roman" w:hAnsi="Times New Roman"/>
          <w:color w:val="auto"/>
        </w:rPr>
        <w:t>i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ntermunicipais, </w:t>
      </w:r>
      <w:r>
        <w:rPr>
          <w:rFonts w:eastAsia="Times New Roman" w:cs="Times New Roman" w:ascii="Times New Roman" w:hAnsi="Times New Roman"/>
          <w:color w:val="auto"/>
        </w:rPr>
        <w:t>i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nterestaduais e </w:t>
      </w:r>
      <w:r>
        <w:rPr>
          <w:rFonts w:eastAsia="Times New Roman" w:cs="Times New Roman" w:ascii="Times New Roman" w:hAnsi="Times New Roman"/>
          <w:color w:val="auto"/>
        </w:rPr>
        <w:t>i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nternacionais: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color w:val="auto"/>
        </w:rPr>
        <w:t>ô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nibus, </w:t>
      </w:r>
      <w:r>
        <w:rPr>
          <w:rFonts w:eastAsia="Times New Roman" w:cs="Times New Roman" w:ascii="Times New Roman" w:hAnsi="Times New Roman"/>
          <w:color w:val="auto"/>
        </w:rPr>
        <w:t>m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icro-ônibus, </w:t>
      </w:r>
      <w:r>
        <w:rPr>
          <w:rFonts w:eastAsia="Times New Roman" w:cs="Times New Roman" w:ascii="Times New Roman" w:hAnsi="Times New Roman"/>
          <w:color w:val="auto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 e </w:t>
      </w:r>
      <w:r>
        <w:rPr>
          <w:rFonts w:eastAsia="Times New Roman" w:cs="Times New Roman" w:ascii="Times New Roman" w:hAnsi="Times New Roman"/>
          <w:color w:val="auto"/>
        </w:rPr>
        <w:t>v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eículo </w:t>
      </w:r>
      <w:r>
        <w:rPr>
          <w:rFonts w:eastAsia="Times New Roman" w:cs="Times New Roman" w:ascii="Times New Roman" w:hAnsi="Times New Roman"/>
          <w:color w:val="auto"/>
        </w:rPr>
        <w:t>e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xecutivo.</w:t>
      </w:r>
    </w:p>
    <w:sectPr>
      <w:type w:val="nextPage"/>
      <w:pgSz w:w="12813" w:h="16838"/>
      <w:pgMar w:left="1519" w:right="803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t.wikipedia.org/wiki/Microrregi&#227;o_de_Cascavel_(Paran&#225;)" TargetMode="External"/><Relationship Id="rId4" Type="http://schemas.openxmlformats.org/officeDocument/2006/relationships/hyperlink" Target="https://pt.wikipedia.org/wiki/Tr&#234;s_Barras_do_Paran&#225;" TargetMode="External"/><Relationship Id="rId5" Type="http://schemas.openxmlformats.org/officeDocument/2006/relationships/hyperlink" Target="https://pt.wikipedia.org/wiki/Microrregi&#227;o_de_Foz_do_Igua&#231;u" TargetMode="External"/><Relationship Id="rId6" Type="http://schemas.openxmlformats.org/officeDocument/2006/relationships/hyperlink" Target="https://pt.wikipedia.org/wiki/Serran&#243;polis_do_Igua&#231;u" TargetMode="External"/><Relationship Id="rId7" Type="http://schemas.openxmlformats.org/officeDocument/2006/relationships/hyperlink" Target="https://pt.wikipedia.org/wiki/Vera_Cruz_do_Oeste" TargetMode="External"/><Relationship Id="rId8" Type="http://schemas.openxmlformats.org/officeDocument/2006/relationships/hyperlink" Target="https://pt.wikipedia.org/wiki/Microrregi&#227;o_de_Toledo" TargetMode="External"/><Relationship Id="rId9" Type="http://schemas.openxmlformats.org/officeDocument/2006/relationships/hyperlink" Target="https://pt.wikipedia.org/wiki/Tup&#227;ssi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2</Pages>
  <Words>326</Words>
  <Characters>1820</Characters>
  <CharactersWithSpaces>2036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2023-07-18T17:02:25Z</dcterms:modified>
  <cp:revision>2</cp:revision>
  <dc:subject/>
  <dc:title/>
</cp:coreProperties>
</file>