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numPr>
          <w:ilvl w:val="2"/>
          <w:numId w:val="1"/>
        </w:numPr>
        <w:spacing w:lineRule="auto" w:line="240" w:before="140" w:after="0"/>
        <w:jc w:val="center"/>
        <w:rPr>
          <w:rFonts w:ascii="Liberation Sans" w:hAnsi="Liberation Sans" w:eastAsia="Liberation Sans" w:cs="Liberation Sans"/>
          <w:b/>
          <w:b/>
          <w:color w:val="000000"/>
        </w:rPr>
      </w:pPr>
      <w:bookmarkStart w:id="0" w:name="_42v77hagh6g1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30/2021/CEL-ILAACH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center"/>
        <w:rPr/>
      </w:pPr>
      <w:r>
        <w:rPr>
          <w:rFonts w:eastAsia="Calibri" w:cs="Calibri" w:ascii="Calibri" w:hAnsi="Calibri"/>
          <w:b/>
          <w:sz w:val="24"/>
          <w:szCs w:val="24"/>
        </w:rPr>
        <w:t>ANEXO II - FORMULÁRIO PARA INTERPOSIÇÃO DE RECURSO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right"/>
        <w:rPr/>
      </w:pPr>
      <w:r>
        <w:rPr>
          <w:rFonts w:eastAsia="Calibri" w:cs="Calibri" w:ascii="Calibri" w:hAnsi="Calibri"/>
          <w:sz w:val="24"/>
          <w:szCs w:val="24"/>
        </w:rPr>
        <w:t>Foz do Iguaçu,__de________________ de 2021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DECISÃO DO RECURSO (Para uso da CEL-ILAACH)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Normal1"/>
        <w:widowControl w:val="false"/>
        <w:numPr>
          <w:ilvl w:val="2"/>
          <w:numId w:val="1"/>
        </w:numPr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103</Words>
  <Characters>669</Characters>
  <CharactersWithSpaces>797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