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ANEXO IV</w:t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TERMO DE AUTODECLARAÇÃO</w:t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Eu, [NOME], portador(a) do documento de identidade </w:t>
      </w:r>
      <w:r>
        <w:rPr>
          <w:rFonts w:eastAsia="Arial" w:cs="Arial" w:ascii="Arial" w:hAnsi="Arial"/>
          <w:sz w:val="24"/>
          <w:szCs w:val="24"/>
        </w:rPr>
        <w:t>nº [NÚMERO],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residente e domiciliado em </w:t>
      </w:r>
      <w:r>
        <w:rPr>
          <w:rFonts w:eastAsia="Arial" w:cs="Arial" w:ascii="Arial" w:hAnsi="Arial"/>
          <w:sz w:val="24"/>
          <w:szCs w:val="24"/>
        </w:rPr>
        <w:t>[MUNICÍPIO E PAÍS]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 xml:space="preserve">para fins de inscrição no processo seletivo de alunos regulares 2025 do Programa de Pós-Graduação em História (PPGHIS) </w:t>
      </w:r>
      <w:r>
        <w:rPr>
          <w:rFonts w:eastAsia="Arial" w:cs="Arial" w:ascii="Arial" w:hAnsi="Arial"/>
          <w:color w:val="000000"/>
          <w:sz w:val="24"/>
          <w:szCs w:val="24"/>
        </w:rPr>
        <w:t>da Universidade Federal da Integração Latino-Americana (UNILA), sob as penas da lei, DECLARO que sou</w:t>
      </w:r>
      <w:r>
        <w:rPr>
          <w:rFonts w:eastAsia="Arial" w:cs="Arial" w:ascii="Arial" w:hAnsi="Arial"/>
          <w:sz w:val="24"/>
          <w:szCs w:val="24"/>
        </w:rPr>
        <w:t xml:space="preserve"> [INDICAR CATEGORIA DE AÇÃO AFIRMATIVA].</w:t>
      </w:r>
    </w:p>
    <w:p>
      <w:pPr>
        <w:pStyle w:val="Normal1"/>
        <w:shd w:fill="FFFFFF" w:val="clear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Estou ciente de que, em caso de falsidade ideológica, ficarei sujeito às sanções prescritas no Código Penal* e às demais cominações legais aplicáveis.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data, local e assinatura do(a) candidato(a)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1"/>
    <w:next w:val="Normal1"/>
    <w:qFormat/>
    <w:pPr>
      <w:keepNext w:val="true"/>
      <w:keepLines/>
      <w:shd w:fill="FFFFFF" w:val="clear"/>
      <w:spacing w:lineRule="auto" w:line="276" w:before="40" w:after="0"/>
    </w:pPr>
    <w:rPr>
      <w:rFonts w:ascii="Calibri" w:hAnsi="Calibri" w:eastAsia="Calibri" w:cs="Calibri"/>
      <w:color w:val="1F3763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LibreOffice/7.3.7.2$Linux_X86_64 LibreOffice_project/30$Build-2</Application>
  <AppVersion>15.0000</AppVersion>
  <Pages>1</Pages>
  <Words>244</Words>
  <Characters>1374</Characters>
  <CharactersWithSpaces>1611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2024-08-09T09:57:08Z</dcterms:modified>
  <cp:revision>4</cp:revision>
  <dc:subject/>
  <dc:title/>
</cp:coreProperties>
</file>